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09" w:rsidRDefault="00CA057E" w:rsidP="00575158">
      <w:pPr>
        <w:rPr>
          <w:sz w:val="24"/>
          <w:szCs w:val="24"/>
        </w:rPr>
      </w:pPr>
      <w:bookmarkStart w:id="0" w:name="_GoBack"/>
      <w:bookmarkEnd w:id="0"/>
      <w:r w:rsidRPr="00CA057E">
        <w:rPr>
          <w:b/>
          <w:sz w:val="24"/>
          <w:szCs w:val="24"/>
        </w:rPr>
        <w:t>Overview</w:t>
      </w:r>
      <w:r>
        <w:rPr>
          <w:sz w:val="24"/>
          <w:szCs w:val="24"/>
        </w:rPr>
        <w:t xml:space="preserve">: </w:t>
      </w:r>
      <w:r w:rsidR="004A4F09">
        <w:rPr>
          <w:sz w:val="24"/>
          <w:szCs w:val="24"/>
        </w:rPr>
        <w:t xml:space="preserve">This </w:t>
      </w:r>
      <w:r w:rsidR="00520737">
        <w:rPr>
          <w:sz w:val="24"/>
          <w:szCs w:val="24"/>
        </w:rPr>
        <w:t>subcommittee’s members will identify</w:t>
      </w:r>
      <w:r w:rsidR="004A4F09">
        <w:rPr>
          <w:sz w:val="24"/>
          <w:szCs w:val="24"/>
        </w:rPr>
        <w:t xml:space="preserve"> deliverables </w:t>
      </w:r>
      <w:r w:rsidR="00520737">
        <w:rPr>
          <w:sz w:val="24"/>
          <w:szCs w:val="24"/>
        </w:rPr>
        <w:t xml:space="preserve">and content the Task Force could produce </w:t>
      </w:r>
      <w:r w:rsidR="004A4F09">
        <w:rPr>
          <w:sz w:val="24"/>
          <w:szCs w:val="24"/>
        </w:rPr>
        <w:t xml:space="preserve">for </w:t>
      </w:r>
      <w:r w:rsidR="00520737">
        <w:rPr>
          <w:sz w:val="24"/>
          <w:szCs w:val="24"/>
        </w:rPr>
        <w:t xml:space="preserve">different audiences. Content will be derived from </w:t>
      </w:r>
      <w:r w:rsidR="00FE7B6B">
        <w:rPr>
          <w:sz w:val="24"/>
          <w:szCs w:val="24"/>
        </w:rPr>
        <w:t>other subcommittees and the Task Force</w:t>
      </w:r>
      <w:r w:rsidR="00520737">
        <w:rPr>
          <w:sz w:val="24"/>
          <w:szCs w:val="24"/>
        </w:rPr>
        <w:t xml:space="preserve">. </w:t>
      </w:r>
      <w:r w:rsidR="00E602D8">
        <w:rPr>
          <w:sz w:val="24"/>
          <w:szCs w:val="24"/>
        </w:rPr>
        <w:t>Subcommittee members</w:t>
      </w:r>
      <w:r w:rsidR="00520737">
        <w:rPr>
          <w:sz w:val="24"/>
          <w:szCs w:val="24"/>
        </w:rPr>
        <w:t xml:space="preserve"> will also suggest how companies could make pay gap and employee rights information available.</w:t>
      </w:r>
      <w:r w:rsidR="000E3E4C">
        <w:rPr>
          <w:sz w:val="24"/>
          <w:szCs w:val="24"/>
        </w:rPr>
        <w:t xml:space="preserve"> This subcommittee will also identify model products from other state and federal equal pay initiatives.</w:t>
      </w:r>
    </w:p>
    <w:p w:rsidR="00CA057E" w:rsidRPr="00CA057E" w:rsidRDefault="00CA057E" w:rsidP="00CA057E">
      <w:pPr>
        <w:tabs>
          <w:tab w:val="left" w:pos="6465"/>
        </w:tabs>
        <w:rPr>
          <w:sz w:val="24"/>
          <w:szCs w:val="24"/>
        </w:rPr>
      </w:pPr>
      <w:r w:rsidRPr="00CA057E">
        <w:rPr>
          <w:b/>
          <w:sz w:val="24"/>
          <w:szCs w:val="24"/>
        </w:rPr>
        <w:t>Audiences</w:t>
      </w:r>
      <w:r>
        <w:rPr>
          <w:sz w:val="24"/>
          <w:szCs w:val="24"/>
        </w:rPr>
        <w:t>: Employees</w:t>
      </w:r>
      <w:r w:rsidR="00FE7B6B">
        <w:rPr>
          <w:sz w:val="24"/>
          <w:szCs w:val="24"/>
        </w:rPr>
        <w:t>,</w:t>
      </w:r>
      <w:r>
        <w:rPr>
          <w:sz w:val="24"/>
          <w:szCs w:val="24"/>
        </w:rPr>
        <w:t xml:space="preserve"> employers, human resources, legal, researchers, unions. </w:t>
      </w:r>
      <w:proofErr w:type="gramStart"/>
      <w:r>
        <w:rPr>
          <w:sz w:val="24"/>
          <w:szCs w:val="24"/>
        </w:rPr>
        <w:t>Additional?</w:t>
      </w:r>
      <w:proofErr w:type="gramEnd"/>
    </w:p>
    <w:p w:rsidR="00575158" w:rsidRDefault="00552F2B" w:rsidP="00575158">
      <w:pPr>
        <w:rPr>
          <w:sz w:val="24"/>
          <w:szCs w:val="24"/>
        </w:rPr>
      </w:pPr>
      <w:r>
        <w:rPr>
          <w:b/>
          <w:sz w:val="24"/>
          <w:szCs w:val="24"/>
        </w:rPr>
        <w:t>Broad q</w:t>
      </w:r>
      <w:r w:rsidR="00575158" w:rsidRPr="00CA057E">
        <w:rPr>
          <w:b/>
          <w:sz w:val="24"/>
          <w:szCs w:val="24"/>
        </w:rPr>
        <w:t>uestions</w:t>
      </w:r>
      <w:r w:rsidR="00575158">
        <w:rPr>
          <w:sz w:val="24"/>
          <w:szCs w:val="24"/>
        </w:rPr>
        <w:t xml:space="preserve">: </w:t>
      </w:r>
      <w:r w:rsidR="004A4F09">
        <w:rPr>
          <w:sz w:val="24"/>
          <w:szCs w:val="24"/>
        </w:rPr>
        <w:t xml:space="preserve">How can the Task Force best disseminate information it produces? </w:t>
      </w:r>
      <w:r w:rsidR="00520737">
        <w:rPr>
          <w:sz w:val="24"/>
          <w:szCs w:val="24"/>
        </w:rPr>
        <w:t xml:space="preserve">What should be produced? Which formats? </w:t>
      </w:r>
      <w:r w:rsidR="004A4F09">
        <w:rPr>
          <w:sz w:val="24"/>
          <w:szCs w:val="24"/>
        </w:rPr>
        <w:t>Who are the audiences for each deliverable?</w:t>
      </w:r>
      <w:r w:rsidR="00520737">
        <w:rPr>
          <w:sz w:val="24"/>
          <w:szCs w:val="24"/>
        </w:rPr>
        <w:t xml:space="preserve"> How can companies make information about their pay gaps </w:t>
      </w:r>
      <w:r w:rsidR="00CA057E">
        <w:rPr>
          <w:sz w:val="24"/>
          <w:szCs w:val="24"/>
        </w:rPr>
        <w:t xml:space="preserve">and employee rights </w:t>
      </w:r>
      <w:r w:rsidR="00520737">
        <w:rPr>
          <w:sz w:val="24"/>
          <w:szCs w:val="24"/>
        </w:rPr>
        <w:t>available?</w:t>
      </w:r>
    </w:p>
    <w:p w:rsidR="00CA057E" w:rsidRDefault="00CA057E" w:rsidP="00575158">
      <w:pPr>
        <w:rPr>
          <w:sz w:val="24"/>
          <w:szCs w:val="24"/>
        </w:rPr>
      </w:pPr>
      <w:r w:rsidRPr="00CA057E">
        <w:rPr>
          <w:b/>
          <w:sz w:val="24"/>
          <w:szCs w:val="24"/>
        </w:rPr>
        <w:t>Additional information</w:t>
      </w:r>
      <w:r>
        <w:rPr>
          <w:sz w:val="24"/>
          <w:szCs w:val="24"/>
        </w:rPr>
        <w:t>:</w:t>
      </w:r>
    </w:p>
    <w:p w:rsidR="004A4F09" w:rsidRPr="000E3E4C" w:rsidRDefault="004A4F09" w:rsidP="004A4F0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E3E4C">
        <w:rPr>
          <w:i/>
          <w:sz w:val="24"/>
          <w:szCs w:val="24"/>
        </w:rPr>
        <w:t xml:space="preserve">Publishing </w:t>
      </w:r>
      <w:r w:rsidRPr="000E3E4C">
        <w:rPr>
          <w:sz w:val="24"/>
          <w:szCs w:val="24"/>
        </w:rPr>
        <w:t>information</w:t>
      </w:r>
      <w:r w:rsidR="00520737" w:rsidRPr="000E3E4C">
        <w:rPr>
          <w:sz w:val="24"/>
          <w:szCs w:val="24"/>
        </w:rPr>
        <w:t xml:space="preserve"> about pay gaps</w:t>
      </w:r>
      <w:r w:rsidRPr="000E3E4C">
        <w:rPr>
          <w:sz w:val="24"/>
          <w:szCs w:val="24"/>
        </w:rPr>
        <w:t xml:space="preserve">. Where </w:t>
      </w:r>
      <w:proofErr w:type="gramStart"/>
      <w:r w:rsidR="00520737" w:rsidRPr="000E3E4C">
        <w:rPr>
          <w:sz w:val="24"/>
          <w:szCs w:val="24"/>
        </w:rPr>
        <w:t xml:space="preserve">should </w:t>
      </w:r>
      <w:r w:rsidRPr="000E3E4C">
        <w:rPr>
          <w:sz w:val="24"/>
          <w:szCs w:val="24"/>
        </w:rPr>
        <w:t>information</w:t>
      </w:r>
      <w:proofErr w:type="gramEnd"/>
      <w:r w:rsidRPr="000E3E4C">
        <w:rPr>
          <w:sz w:val="24"/>
          <w:szCs w:val="24"/>
        </w:rPr>
        <w:t xml:space="preserve"> be published? Does information have to </w:t>
      </w:r>
      <w:r w:rsidR="00520737" w:rsidRPr="000E3E4C">
        <w:rPr>
          <w:sz w:val="24"/>
          <w:szCs w:val="24"/>
        </w:rPr>
        <w:t xml:space="preserve">be </w:t>
      </w:r>
      <w:r w:rsidRPr="000E3E4C">
        <w:rPr>
          <w:sz w:val="24"/>
          <w:szCs w:val="24"/>
        </w:rPr>
        <w:t xml:space="preserve">made available to anyone? </w:t>
      </w:r>
      <w:r w:rsidR="00520737" w:rsidRPr="000E3E4C">
        <w:rPr>
          <w:sz w:val="24"/>
          <w:szCs w:val="24"/>
        </w:rPr>
        <w:t xml:space="preserve">Which information should be published? When should information be published? </w:t>
      </w:r>
      <w:r w:rsidRPr="000E3E4C">
        <w:rPr>
          <w:sz w:val="24"/>
          <w:szCs w:val="24"/>
        </w:rPr>
        <w:t>Publication timetable</w:t>
      </w:r>
      <w:r w:rsidR="00520737" w:rsidRPr="000E3E4C">
        <w:rPr>
          <w:sz w:val="24"/>
          <w:szCs w:val="24"/>
        </w:rPr>
        <w:t>s</w:t>
      </w:r>
      <w:r w:rsidRPr="000E3E4C">
        <w:rPr>
          <w:sz w:val="24"/>
          <w:szCs w:val="24"/>
        </w:rPr>
        <w:t xml:space="preserve">. </w:t>
      </w:r>
      <w:r w:rsidR="00520737" w:rsidRPr="000E3E4C">
        <w:rPr>
          <w:sz w:val="24"/>
          <w:szCs w:val="24"/>
        </w:rPr>
        <w:t>Should companies publishing data p</w:t>
      </w:r>
      <w:r w:rsidRPr="000E3E4C">
        <w:rPr>
          <w:sz w:val="24"/>
          <w:szCs w:val="24"/>
        </w:rPr>
        <w:t xml:space="preserve">rovide supporting commentary or not. Benefits of transparency. </w:t>
      </w:r>
    </w:p>
    <w:p w:rsidR="004A4F09" w:rsidRPr="000E3E4C" w:rsidRDefault="004A4F09" w:rsidP="004A4F09">
      <w:pPr>
        <w:pStyle w:val="ListParagraph"/>
        <w:numPr>
          <w:ilvl w:val="0"/>
          <w:numId w:val="4"/>
        </w:numPr>
        <w:tabs>
          <w:tab w:val="left" w:pos="6465"/>
        </w:tabs>
        <w:rPr>
          <w:sz w:val="24"/>
          <w:szCs w:val="24"/>
        </w:rPr>
      </w:pPr>
      <w:r w:rsidRPr="000E3E4C">
        <w:rPr>
          <w:rFonts w:cs="Arial"/>
          <w:i/>
          <w:sz w:val="24"/>
          <w:szCs w:val="24"/>
        </w:rPr>
        <w:t>Outreach</w:t>
      </w:r>
      <w:r w:rsidRPr="000E3E4C">
        <w:rPr>
          <w:rFonts w:cs="Arial"/>
          <w:sz w:val="24"/>
          <w:szCs w:val="24"/>
        </w:rPr>
        <w:t xml:space="preserve"> to and inform employees and employers about equal pay protections and rights and duties under the new law.</w:t>
      </w:r>
    </w:p>
    <w:p w:rsidR="004A4F09" w:rsidRPr="000E3E4C" w:rsidRDefault="004A4F09" w:rsidP="004A4F09">
      <w:pPr>
        <w:pStyle w:val="ListParagraph"/>
        <w:numPr>
          <w:ilvl w:val="0"/>
          <w:numId w:val="4"/>
        </w:numPr>
        <w:tabs>
          <w:tab w:val="left" w:pos="6465"/>
        </w:tabs>
        <w:rPr>
          <w:sz w:val="24"/>
          <w:szCs w:val="24"/>
        </w:rPr>
      </w:pPr>
      <w:r w:rsidRPr="000E3E4C">
        <w:rPr>
          <w:rFonts w:cs="Arial"/>
          <w:i/>
          <w:sz w:val="24"/>
          <w:szCs w:val="24"/>
        </w:rPr>
        <w:t>Produce</w:t>
      </w:r>
      <w:r w:rsidRPr="000E3E4C">
        <w:rPr>
          <w:rFonts w:cs="Arial"/>
          <w:sz w:val="24"/>
          <w:szCs w:val="24"/>
        </w:rPr>
        <w:t xml:space="preserve"> a substantive guide that will facilitate employer and employee understanding of </w:t>
      </w:r>
      <w:r w:rsidR="003869B7">
        <w:rPr>
          <w:rFonts w:cs="Arial"/>
          <w:sz w:val="24"/>
          <w:szCs w:val="24"/>
        </w:rPr>
        <w:t xml:space="preserve">and compliance with </w:t>
      </w:r>
      <w:r w:rsidRPr="000E3E4C">
        <w:rPr>
          <w:rFonts w:cs="Arial"/>
          <w:sz w:val="24"/>
          <w:szCs w:val="24"/>
        </w:rPr>
        <w:t>the law and the importance of gender equity in the workplace and compensation.</w:t>
      </w:r>
    </w:p>
    <w:p w:rsidR="004A4F09" w:rsidRPr="000E3E4C" w:rsidRDefault="004A4F09" w:rsidP="004A4F09">
      <w:pPr>
        <w:pStyle w:val="ListParagraph"/>
        <w:numPr>
          <w:ilvl w:val="0"/>
          <w:numId w:val="4"/>
        </w:numPr>
        <w:tabs>
          <w:tab w:val="left" w:pos="6465"/>
        </w:tabs>
        <w:rPr>
          <w:sz w:val="24"/>
          <w:szCs w:val="24"/>
        </w:rPr>
      </w:pPr>
      <w:r w:rsidRPr="000E3E4C">
        <w:rPr>
          <w:rFonts w:cs="Arial"/>
          <w:i/>
          <w:sz w:val="24"/>
          <w:szCs w:val="24"/>
        </w:rPr>
        <w:t>Provide</w:t>
      </w:r>
      <w:r w:rsidRPr="000E3E4C">
        <w:rPr>
          <w:rFonts w:cs="Arial"/>
          <w:sz w:val="24"/>
          <w:szCs w:val="24"/>
        </w:rPr>
        <w:t xml:space="preserve"> ongoing written guidance about the purpose of the law, complete with </w:t>
      </w:r>
      <w:r w:rsidR="00CA057E" w:rsidRPr="000E3E4C">
        <w:rPr>
          <w:rFonts w:cs="Arial"/>
          <w:sz w:val="24"/>
          <w:szCs w:val="24"/>
        </w:rPr>
        <w:t>steps to help with compliance.</w:t>
      </w:r>
    </w:p>
    <w:p w:rsidR="00795B95" w:rsidRPr="00795B95" w:rsidRDefault="00795B95" w:rsidP="00795B95">
      <w:pPr>
        <w:rPr>
          <w:sz w:val="24"/>
          <w:szCs w:val="24"/>
        </w:rPr>
      </w:pPr>
      <w:r w:rsidRPr="00795B95">
        <w:rPr>
          <w:b/>
          <w:sz w:val="24"/>
          <w:szCs w:val="24"/>
        </w:rPr>
        <w:t>Resources</w:t>
      </w:r>
      <w:r w:rsidRPr="00795B95">
        <w:rPr>
          <w:sz w:val="24"/>
          <w:szCs w:val="24"/>
        </w:rPr>
        <w:t xml:space="preserve">: See literature reviews and documents available on CCSWG website. </w:t>
      </w:r>
      <w:hyperlink r:id="rId8" w:history="1">
        <w:r w:rsidRPr="00795B95">
          <w:rPr>
            <w:rStyle w:val="Hyperlink"/>
            <w:sz w:val="24"/>
            <w:szCs w:val="24"/>
          </w:rPr>
          <w:t>http://www.women.ca.gov/CaliforniaPayEquityTaskForce/Resources.aspx</w:t>
        </w:r>
      </w:hyperlink>
      <w:r w:rsidRPr="00795B95">
        <w:rPr>
          <w:sz w:val="24"/>
          <w:szCs w:val="24"/>
        </w:rPr>
        <w:t>. Tell staff if you know of additional resources you would like to share.</w:t>
      </w:r>
    </w:p>
    <w:p w:rsidR="00CA057E" w:rsidRPr="00CA057E" w:rsidRDefault="00CA057E" w:rsidP="00552F2B">
      <w:pPr>
        <w:rPr>
          <w:sz w:val="24"/>
          <w:szCs w:val="24"/>
        </w:rPr>
      </w:pPr>
    </w:p>
    <w:sectPr w:rsidR="00CA057E" w:rsidRPr="00CA057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27" w:rsidRDefault="001A6227" w:rsidP="00575158">
      <w:pPr>
        <w:spacing w:after="0" w:line="240" w:lineRule="auto"/>
      </w:pPr>
      <w:r>
        <w:separator/>
      </w:r>
    </w:p>
  </w:endnote>
  <w:endnote w:type="continuationSeparator" w:id="0">
    <w:p w:rsidR="001A6227" w:rsidRDefault="001A6227" w:rsidP="0057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27" w:rsidRDefault="001A6227" w:rsidP="00575158">
      <w:pPr>
        <w:spacing w:after="0" w:line="240" w:lineRule="auto"/>
      </w:pPr>
      <w:r>
        <w:separator/>
      </w:r>
    </w:p>
  </w:footnote>
  <w:footnote w:type="continuationSeparator" w:id="0">
    <w:p w:rsidR="001A6227" w:rsidRDefault="001A6227" w:rsidP="0057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58" w:rsidRDefault="00575158">
    <w:pPr>
      <w:pStyle w:val="Header"/>
    </w:pPr>
    <w:r>
      <w:t xml:space="preserve">California Pay Equity Task Force </w:t>
    </w:r>
  </w:p>
  <w:p w:rsidR="00575158" w:rsidRDefault="00575158">
    <w:pPr>
      <w:pStyle w:val="Header"/>
    </w:pPr>
    <w:r>
      <w:t xml:space="preserve">Subcommittee: </w:t>
    </w:r>
    <w:r w:rsidR="004A4F09">
      <w:t>Deliverables</w:t>
    </w:r>
  </w:p>
  <w:p w:rsidR="00575158" w:rsidRDefault="004A4F09">
    <w:pPr>
      <w:pStyle w:val="Header"/>
    </w:pPr>
    <w:r>
      <w:t>Kelly Jenkins-Pultz, U.S. Department of Labor</w:t>
    </w:r>
    <w:r w:rsidR="001D255F">
      <w:t>,</w:t>
    </w:r>
    <w:r>
      <w:t xml:space="preserve"> Women’s Bureau</w:t>
    </w:r>
  </w:p>
  <w:p w:rsidR="00575158" w:rsidRDefault="004A4F09">
    <w:pPr>
      <w:pStyle w:val="Header"/>
    </w:pPr>
    <w:r>
      <w:t>Victoria Pynchon, She Negotiates</w:t>
    </w:r>
  </w:p>
  <w:p w:rsidR="00DC2EF5" w:rsidRDefault="00575158" w:rsidP="00DC2EF5">
    <w:pPr>
      <w:pStyle w:val="Header"/>
      <w:jc w:val="both"/>
      <w:rPr>
        <w:rStyle w:val="Hyperlink"/>
      </w:rPr>
    </w:pPr>
    <w:r>
      <w:t xml:space="preserve">Staff contact: </w:t>
    </w:r>
    <w:r w:rsidR="00DC2EF5">
      <w:t xml:space="preserve">Bethany Renfree, Policy Director, CCSWG, </w:t>
    </w:r>
    <w:hyperlink r:id="rId1" w:history="1">
      <w:r w:rsidR="00DC2EF5" w:rsidRPr="00FD1C9A">
        <w:rPr>
          <w:rStyle w:val="Hyperlink"/>
        </w:rPr>
        <w:t>bethany.renfree@women.ca.gov</w:t>
      </w:r>
    </w:hyperlink>
  </w:p>
  <w:p w:rsidR="00575158" w:rsidRDefault="00DC2EF5" w:rsidP="00DC2EF5">
    <w:pPr>
      <w:pStyle w:val="Header"/>
      <w:jc w:val="both"/>
    </w:pPr>
    <w:r w:rsidRPr="00DC2EF5">
      <w:rPr>
        <w:rStyle w:val="Hyperlink"/>
        <w:u w:val="none"/>
      </w:rPr>
      <w:tab/>
    </w:r>
    <w:r w:rsidR="004A4F09">
      <w:t xml:space="preserve">Stephanie </w:t>
    </w:r>
    <w:r w:rsidR="001D255F">
      <w:t xml:space="preserve">Flores, Communications, CCSWG, </w:t>
    </w:r>
    <w:hyperlink r:id="rId2" w:history="1">
      <w:r w:rsidR="001D255F" w:rsidRPr="00FD1C9A">
        <w:rPr>
          <w:rStyle w:val="Hyperlink"/>
        </w:rPr>
        <w:t>stephanie.flores@women.ca.gov</w:t>
      </w:r>
    </w:hyperlink>
  </w:p>
  <w:p w:rsidR="00926F4F" w:rsidRDefault="00926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3EE"/>
    <w:multiLevelType w:val="hybridMultilevel"/>
    <w:tmpl w:val="5C2A2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D5DFE"/>
    <w:multiLevelType w:val="hybridMultilevel"/>
    <w:tmpl w:val="7CC61B54"/>
    <w:lvl w:ilvl="0" w:tplc="25220D52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6862"/>
    <w:multiLevelType w:val="hybridMultilevel"/>
    <w:tmpl w:val="FA7ABE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45596"/>
    <w:multiLevelType w:val="hybridMultilevel"/>
    <w:tmpl w:val="86CA9022"/>
    <w:lvl w:ilvl="0" w:tplc="FCB0B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58"/>
    <w:rsid w:val="000B2995"/>
    <w:rsid w:val="000E3E4C"/>
    <w:rsid w:val="001808A0"/>
    <w:rsid w:val="001A6227"/>
    <w:rsid w:val="001D255F"/>
    <w:rsid w:val="00375146"/>
    <w:rsid w:val="003869B7"/>
    <w:rsid w:val="004A4F09"/>
    <w:rsid w:val="00520737"/>
    <w:rsid w:val="00552F2B"/>
    <w:rsid w:val="00561680"/>
    <w:rsid w:val="00575158"/>
    <w:rsid w:val="006B4EB5"/>
    <w:rsid w:val="007254D2"/>
    <w:rsid w:val="00795B95"/>
    <w:rsid w:val="008D1B85"/>
    <w:rsid w:val="00926F4F"/>
    <w:rsid w:val="00962C60"/>
    <w:rsid w:val="00AA1094"/>
    <w:rsid w:val="00B5481C"/>
    <w:rsid w:val="00CA057E"/>
    <w:rsid w:val="00D273C5"/>
    <w:rsid w:val="00D427E8"/>
    <w:rsid w:val="00DC2EF5"/>
    <w:rsid w:val="00DE4B78"/>
    <w:rsid w:val="00E07DDA"/>
    <w:rsid w:val="00E602D8"/>
    <w:rsid w:val="00F210F8"/>
    <w:rsid w:val="00F36B29"/>
    <w:rsid w:val="00FB1000"/>
    <w:rsid w:val="00FB1747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5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58"/>
  </w:style>
  <w:style w:type="paragraph" w:styleId="Footer">
    <w:name w:val="footer"/>
    <w:basedOn w:val="Normal"/>
    <w:link w:val="FooterChar"/>
    <w:uiPriority w:val="99"/>
    <w:unhideWhenUsed/>
    <w:rsid w:val="0057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58"/>
  </w:style>
  <w:style w:type="character" w:styleId="Hyperlink">
    <w:name w:val="Hyperlink"/>
    <w:basedOn w:val="DefaultParagraphFont"/>
    <w:uiPriority w:val="99"/>
    <w:unhideWhenUsed/>
    <w:rsid w:val="005751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158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58"/>
  </w:style>
  <w:style w:type="paragraph" w:styleId="Footer">
    <w:name w:val="footer"/>
    <w:basedOn w:val="Normal"/>
    <w:link w:val="FooterChar"/>
    <w:uiPriority w:val="99"/>
    <w:unhideWhenUsed/>
    <w:rsid w:val="00575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58"/>
  </w:style>
  <w:style w:type="character" w:styleId="Hyperlink">
    <w:name w:val="Hyperlink"/>
    <w:basedOn w:val="DefaultParagraphFont"/>
    <w:uiPriority w:val="99"/>
    <w:unhideWhenUsed/>
    <w:rsid w:val="00575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en.ca.gov/CaliforniaPayEquityTaskForce/Resource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ephanie.flores@women.ca.gov" TargetMode="External"/><Relationship Id="rId1" Type="http://schemas.openxmlformats.org/officeDocument/2006/relationships/hyperlink" Target="mailto:bethany.renfree@women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Library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Lindsey</dc:creator>
  <cp:lastModifiedBy>Bethany</cp:lastModifiedBy>
  <cp:revision>2</cp:revision>
  <dcterms:created xsi:type="dcterms:W3CDTF">2016-07-25T19:09:00Z</dcterms:created>
  <dcterms:modified xsi:type="dcterms:W3CDTF">2016-07-25T19:09:00Z</dcterms:modified>
</cp:coreProperties>
</file>